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E7" w:rsidRDefault="0084293C">
      <w:pPr>
        <w:spacing w:after="60" w:line="240" w:lineRule="auto"/>
        <w:ind w:left="142" w:right="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КОШТОРИС ПРОЄКТУ (можна додавати комерційні пропозиції, але при наявності детального кошторису - виписати основні роботи у таблицю)</w:t>
      </w:r>
    </w:p>
    <w:p w:rsidR="00C376E7" w:rsidRDefault="00C376E7">
      <w:pPr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W w:w="9623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22"/>
        <w:gridCol w:w="3632"/>
        <w:gridCol w:w="1244"/>
        <w:gridCol w:w="1192"/>
        <w:gridCol w:w="1195"/>
        <w:gridCol w:w="1738"/>
      </w:tblGrid>
      <w:tr w:rsidR="00C376E7">
        <w:trPr>
          <w:trHeight w:val="795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Назва статті витрат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Одиниця виміру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Загальна вартість, грн</w:t>
            </w:r>
          </w:p>
        </w:tc>
      </w:tr>
      <w:tr w:rsidR="00C376E7">
        <w:trPr>
          <w:trHeight w:val="495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емонтажні роботи: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озбирання бортових каменів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17570,31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1,28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22489,60</w:t>
            </w:r>
          </w:p>
        </w:tc>
      </w:tr>
      <w:tr w:rsidR="00C376E7">
        <w:trPr>
          <w:trHeight w:val="495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Демонтажні роботи: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становлення бетонних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поребриків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бетонну основу. Демонтаж.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164,73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93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15319,89</w:t>
            </w:r>
          </w:p>
        </w:tc>
      </w:tr>
      <w:tr w:rsidR="00C376E7">
        <w:trPr>
          <w:trHeight w:val="495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Демонтажні роботи: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авантаження сміття вручну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235,69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13,56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3195,96</w:t>
            </w:r>
          </w:p>
        </w:tc>
      </w:tr>
      <w:tr w:rsidR="00C376E7">
        <w:trPr>
          <w:trHeight w:val="495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Демонтажні роботи: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еревезення сміття до 18 км, без завантаження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372,71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13,56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5053,94</w:t>
            </w:r>
          </w:p>
        </w:tc>
      </w:tr>
      <w:tr w:rsidR="00C376E7">
        <w:trPr>
          <w:trHeight w:val="495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Демонтажні роботи: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заміна  люків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4539,00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13617,00</w:t>
            </w:r>
          </w:p>
        </w:tc>
      </w:tr>
      <w:tr w:rsidR="00C376E7">
        <w:trPr>
          <w:trHeight w:val="495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Демонтажні роботи: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перекладання горловин цегляних колодязів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трирядовою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кладкою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2588,33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7764, 99</w:t>
            </w:r>
          </w:p>
        </w:tc>
      </w:tr>
      <w:tr w:rsidR="00C376E7">
        <w:trPr>
          <w:trHeight w:val="495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Відмостка: 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становлення бетонних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поребриків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бетонну основу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395,74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93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36803,82</w:t>
            </w:r>
          </w:p>
        </w:tc>
      </w:tr>
      <w:tr w:rsidR="00C376E7">
        <w:trPr>
          <w:trHeight w:val="495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Відмостка: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оребрики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П7 з бетону М-300, БР 100.20.8, ГОСТ 6665-74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134,05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93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12466,65</w:t>
            </w:r>
          </w:p>
        </w:tc>
      </w:tr>
      <w:tr w:rsidR="00C376E7">
        <w:trPr>
          <w:trHeight w:val="495"/>
        </w:trPr>
        <w:tc>
          <w:tcPr>
            <w:tcW w:w="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3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Відмостка: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лаштування підстильних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вирівнювальних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шарів основи 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піщано-гравійної суміші, жорстви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87327,59</w:t>
            </w:r>
          </w:p>
        </w:tc>
        <w:tc>
          <w:tcPr>
            <w:tcW w:w="11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 м3</w:t>
            </w: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0,348</w:t>
            </w:r>
          </w:p>
        </w:tc>
        <w:tc>
          <w:tcPr>
            <w:tcW w:w="1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30390,00</w:t>
            </w:r>
          </w:p>
        </w:tc>
      </w:tr>
      <w:tr w:rsidR="00C376E7">
        <w:trPr>
          <w:trHeight w:val="495"/>
        </w:trPr>
        <w:tc>
          <w:tcPr>
            <w:tcW w:w="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3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Відмостка: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лаштування цементно-бетонних покриттів одношарових(відмостка)</w:t>
            </w:r>
          </w:p>
          <w:p w:rsidR="00C376E7" w:rsidRDefault="00C376E7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82416,41</w:t>
            </w:r>
          </w:p>
        </w:tc>
        <w:tc>
          <w:tcPr>
            <w:tcW w:w="11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 м2</w:t>
            </w: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1,28</w:t>
            </w:r>
          </w:p>
        </w:tc>
        <w:tc>
          <w:tcPr>
            <w:tcW w:w="1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105493,00</w:t>
            </w:r>
          </w:p>
        </w:tc>
      </w:tr>
      <w:tr w:rsidR="00C376E7">
        <w:trPr>
          <w:trHeight w:val="495"/>
        </w:trPr>
        <w:tc>
          <w:tcPr>
            <w:tcW w:w="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11</w:t>
            </w:r>
          </w:p>
        </w:tc>
        <w:tc>
          <w:tcPr>
            <w:tcW w:w="3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Відмостка: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лаштування покриття з фігурних елементів мощення з приготуванням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піщано-цементної суміші тротуарів, шириною до 2 м ; (Окремі види ремонтно-будівельних робіт, не охоплених збірниками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РЕКНр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а технологія їхнього виконання аналогічна новому будівництву або реконструкції будинків, будівель та споруд, можуть нормуватися відп</w:t>
            </w:r>
            <w:r>
              <w:rPr>
                <w:rFonts w:ascii="Times New Roman" w:hAnsi="Times New Roman"/>
                <w:sz w:val="20"/>
                <w:szCs w:val="20"/>
              </w:rPr>
              <w:t>овідно або за нормами збірників РЕКН на нове будівництво із застосуванням до витрат праці робітників, зайнятих на ремонтно-будівельних роботах, і до часу експлуатації машин та механізмів коефіцієнту 1,15)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674551,7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3</w:t>
            </w:r>
          </w:p>
          <w:p w:rsidR="00C376E7" w:rsidRDefault="00C376E7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1000 м2</w:t>
            </w: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0, 29</w:t>
            </w:r>
          </w:p>
        </w:tc>
        <w:tc>
          <w:tcPr>
            <w:tcW w:w="1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195620,00</w:t>
            </w:r>
          </w:p>
          <w:p w:rsidR="00C376E7" w:rsidRDefault="00C376E7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376E7">
        <w:trPr>
          <w:trHeight w:val="495"/>
        </w:trPr>
        <w:tc>
          <w:tcPr>
            <w:tcW w:w="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3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Відмостка: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руг відрізний алмазний, діаметр 230 мм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624,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11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3120,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00</w:t>
            </w:r>
          </w:p>
        </w:tc>
      </w:tr>
      <w:tr w:rsidR="00C376E7">
        <w:trPr>
          <w:trHeight w:val="2123"/>
        </w:trPr>
        <w:tc>
          <w:tcPr>
            <w:tcW w:w="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3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Загальновиробничі витрати (з</w:t>
            </w:r>
            <w:r>
              <w:rPr>
                <w:rFonts w:ascii="Times New Roman" w:hAnsi="Times New Roman"/>
                <w:sz w:val="20"/>
                <w:szCs w:val="20"/>
              </w:rPr>
              <w:t>аробітна плата у загальновиробничих витратах,  єдиний внесок на загальнообов`</w:t>
            </w:r>
            <w:r w:rsidRPr="0084293C">
              <w:rPr>
                <w:rFonts w:ascii="Times New Roman" w:hAnsi="Times New Roman"/>
                <w:sz w:val="20"/>
                <w:szCs w:val="20"/>
              </w:rPr>
              <w:t>язк</w:t>
            </w:r>
            <w:r>
              <w:rPr>
                <w:rFonts w:ascii="Times New Roman" w:hAnsi="Times New Roman"/>
                <w:sz w:val="20"/>
                <w:szCs w:val="20"/>
              </w:rPr>
              <w:t>ове</w:t>
            </w:r>
            <w:r w:rsidRPr="008429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державне соціальне страхування</w:t>
            </w:r>
            <w:r>
              <w:rPr>
                <w:rFonts w:ascii="Times New Roman" w:hAnsi="Times New Roman"/>
                <w:sz w:val="20"/>
                <w:szCs w:val="20"/>
              </w:rPr>
              <w:t>,  інші статті витрат)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48665.15</w:t>
            </w:r>
          </w:p>
        </w:tc>
      </w:tr>
      <w:tr w:rsidR="00C376E7">
        <w:trPr>
          <w:trHeight w:val="495"/>
        </w:trPr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76E7" w:rsidRDefault="0084293C">
            <w:pPr>
              <w:widowControl w:val="0"/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500000,00</w:t>
            </w:r>
          </w:p>
        </w:tc>
      </w:tr>
    </w:tbl>
    <w:p w:rsidR="00C376E7" w:rsidRDefault="00C376E7">
      <w:pPr>
        <w:rPr>
          <w:rFonts w:ascii="Times New Roman" w:hAnsi="Times New Roman"/>
          <w:sz w:val="20"/>
          <w:szCs w:val="20"/>
        </w:rPr>
      </w:pPr>
    </w:p>
    <w:sectPr w:rsidR="00C376E7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E7"/>
    <w:rsid w:val="0084293C"/>
    <w:rsid w:val="00C3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4D7769-45DF-4409-A303-C2D63586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907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admin</cp:lastModifiedBy>
  <cp:revision>2</cp:revision>
  <dcterms:created xsi:type="dcterms:W3CDTF">2023-03-31T13:20:00Z</dcterms:created>
  <dcterms:modified xsi:type="dcterms:W3CDTF">2023-03-31T13:20:00Z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